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Казахский национальный университет им. </w:t>
      </w:r>
      <w:proofErr w:type="spellStart"/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аль-Фараби</w:t>
      </w:r>
      <w:proofErr w:type="spellEnd"/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Кафедра Финансы и учет</w:t>
      </w: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E96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/>
      </w:tblPr>
      <w:tblGrid>
        <w:gridCol w:w="9712"/>
      </w:tblGrid>
      <w:tr w:rsidR="00477942" w:rsidRPr="00172E96" w:rsidTr="0026484B">
        <w:trPr>
          <w:trHeight w:val="232"/>
        </w:trPr>
        <w:tc>
          <w:tcPr>
            <w:tcW w:w="10068" w:type="dxa"/>
            <w:vAlign w:val="bottom"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77942" w:rsidRPr="000C5C44" w:rsidRDefault="000C5C44" w:rsidP="00ED4FFC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Платежная система</w:t>
            </w:r>
          </w:p>
        </w:tc>
      </w:tr>
      <w:tr w:rsidR="00477942" w:rsidRPr="00172E96" w:rsidTr="0026484B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942" w:rsidRPr="00172E96" w:rsidRDefault="00477942" w:rsidP="00ED4FF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77942" w:rsidRPr="00172E96" w:rsidTr="0026484B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477942" w:rsidRPr="00172E96" w:rsidTr="0026484B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7942" w:rsidRPr="00172E96" w:rsidRDefault="00477942" w:rsidP="0026484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7942" w:rsidRPr="00172E96" w:rsidTr="0026484B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477942" w:rsidRPr="00172E96" w:rsidTr="0026484B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942" w:rsidRPr="00172E96" w:rsidRDefault="00903F72" w:rsidP="00D17A2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72E96"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477942" w:rsidRPr="00172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477942" w:rsidRPr="00172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</w:t>
            </w:r>
            <w:r w:rsidR="000C5C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="00477942" w:rsidRPr="00172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00– </w:t>
            </w:r>
            <w:r w:rsidR="000C5C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Финансы</w:t>
            </w:r>
            <w:r w:rsidR="00477942" w:rsidRPr="00172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77942" w:rsidRPr="00172E96" w:rsidTr="0026484B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0C5C44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477942" w:rsidRPr="00172E96">
        <w:rPr>
          <w:rFonts w:ascii="Times New Roman" w:eastAsia="Calibri" w:hAnsi="Times New Roman" w:cs="Times New Roman"/>
          <w:sz w:val="28"/>
          <w:szCs w:val="28"/>
        </w:rPr>
        <w:t xml:space="preserve">   г.</w:t>
      </w: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556"/>
        <w:gridCol w:w="5799"/>
      </w:tblGrid>
      <w:tr w:rsidR="00477942" w:rsidRPr="00172E96" w:rsidTr="0026484B">
        <w:tc>
          <w:tcPr>
            <w:tcW w:w="3556" w:type="dxa"/>
          </w:tcPr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172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0C5C44" w:rsidP="00B776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Сапарова Г.Т</w:t>
            </w:r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., </w:t>
            </w:r>
            <w:proofErr w:type="spellStart"/>
            <w:proofErr w:type="gramStart"/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</w:t>
            </w:r>
            <w:proofErr w:type="gramEnd"/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.э.н</w:t>
            </w:r>
            <w:proofErr w:type="spellEnd"/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., доцент кафедры «</w:t>
            </w:r>
            <w:r w:rsidR="00B77607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477942" w:rsidRPr="00172E96" w:rsidTr="0026484B">
        <w:tc>
          <w:tcPr>
            <w:tcW w:w="3556" w:type="dxa"/>
          </w:tcPr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942" w:rsidRPr="00172E96" w:rsidRDefault="00477942" w:rsidP="00264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2E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477942" w:rsidRPr="00172E96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477942" w:rsidRPr="00172E96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="000C5C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172E9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C5C44">
        <w:rPr>
          <w:rFonts w:ascii="Times New Roman" w:eastAsia="Calibri" w:hAnsi="Times New Roman" w:cs="Times New Roman"/>
          <w:bCs/>
          <w:sz w:val="28"/>
          <w:szCs w:val="28"/>
        </w:rPr>
        <w:t>Платежная система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172E96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B77607" w:rsidRPr="00172E96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172E9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77942" w:rsidRPr="00172E96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Протокол  №  ____</w:t>
      </w:r>
      <w:r w:rsidR="000C5C44">
        <w:rPr>
          <w:rFonts w:ascii="Times New Roman" w:eastAsia="Calibri" w:hAnsi="Times New Roman" w:cs="Times New Roman"/>
          <w:sz w:val="28"/>
          <w:szCs w:val="28"/>
        </w:rPr>
        <w:t>__ от «____» ______________  202</w:t>
      </w:r>
      <w:r w:rsidRPr="00172E96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7607" w:rsidRPr="00172E96" w:rsidRDefault="00B77607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E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477942" w:rsidRPr="00172E96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172E96">
        <w:rPr>
          <w:rFonts w:ascii="Times New Roman" w:eastAsia="Calibri" w:hAnsi="Times New Roman" w:cs="Times New Roman"/>
          <w:sz w:val="28"/>
          <w:szCs w:val="28"/>
        </w:rPr>
        <w:t>. При сдаче  экзамена требуется представить полные ответы на поставленные вопросы.</w:t>
      </w:r>
    </w:p>
    <w:p w:rsidR="00477942" w:rsidRPr="00172E96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AF7FC5" w:rsidRDefault="00AF7FC5" w:rsidP="0047794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333" w:rsidRPr="00AA1039" w:rsidRDefault="00AC7AC2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51333"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1039" w:rsidRPr="00AA1039">
        <w:rPr>
          <w:rFonts w:ascii="Times New Roman" w:hAnsi="Times New Roman" w:cs="Times New Roman"/>
          <w:sz w:val="28"/>
          <w:szCs w:val="28"/>
        </w:rPr>
        <w:t>Платежная система государства и ее основные компоненты</w:t>
      </w:r>
      <w:r w:rsidR="00AA1039">
        <w:rPr>
          <w:rFonts w:ascii="Times New Roman" w:hAnsi="Times New Roman" w:cs="Times New Roman"/>
          <w:sz w:val="28"/>
          <w:szCs w:val="28"/>
        </w:rPr>
        <w:t>.</w:t>
      </w:r>
    </w:p>
    <w:p w:rsidR="00AC7AC2" w:rsidRPr="00AA1039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A1039" w:rsidRPr="00AA103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AA1039" w:rsidRPr="00AA1039">
        <w:rPr>
          <w:rFonts w:ascii="Times New Roman" w:hAnsi="Times New Roman" w:cs="Times New Roman"/>
          <w:sz w:val="28"/>
          <w:szCs w:val="28"/>
          <w:lang w:val="kk-KZ"/>
        </w:rPr>
        <w:t>Расчетные процессы   платежной системы</w:t>
      </w:r>
      <w:r w:rsidR="00AA10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</w:rPr>
        <w:t xml:space="preserve">3. </w:t>
      </w:r>
      <w:r w:rsidR="00AA1039" w:rsidRPr="00AA1039">
        <w:rPr>
          <w:rFonts w:ascii="Times New Roman" w:hAnsi="Times New Roman" w:cs="Times New Roman"/>
          <w:sz w:val="28"/>
          <w:szCs w:val="28"/>
        </w:rPr>
        <w:t>Безналичные расчетные операции   банков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AA1039" w:rsidRPr="00AA1039">
        <w:rPr>
          <w:rFonts w:ascii="Times New Roman" w:hAnsi="Times New Roman" w:cs="Times New Roman"/>
          <w:sz w:val="28"/>
          <w:szCs w:val="28"/>
        </w:rPr>
        <w:t>Чековые расчеты. Клиринг чеков</w:t>
      </w:r>
      <w:r w:rsidR="00AA103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num" w:pos="360"/>
          <w:tab w:val="left" w:pos="1125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AA1039" w:rsidRPr="00AA1039">
        <w:rPr>
          <w:rFonts w:ascii="Times New Roman" w:hAnsi="Times New Roman" w:cs="Times New Roman"/>
          <w:sz w:val="28"/>
          <w:szCs w:val="28"/>
        </w:rPr>
        <w:t>Вексельное обращение в Казахстане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</w:rPr>
        <w:t xml:space="preserve">6. </w:t>
      </w:r>
      <w:r w:rsidR="00AA1039" w:rsidRPr="00AA1039">
        <w:rPr>
          <w:rFonts w:ascii="Times New Roman" w:hAnsi="Times New Roman" w:cs="Times New Roman"/>
          <w:sz w:val="28"/>
          <w:szCs w:val="28"/>
        </w:rPr>
        <w:t>Организация межбанковских корреспондентских отношений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1125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F86FB9" w:rsidRPr="00F86FB9">
        <w:rPr>
          <w:rFonts w:ascii="Times New Roman" w:hAnsi="Times New Roman" w:cs="Times New Roman"/>
          <w:sz w:val="28"/>
          <w:szCs w:val="28"/>
        </w:rPr>
        <w:t>Деятельность Казахстанского центра межбанковских расчетов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1125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F86FB9" w:rsidRPr="00F86F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6FB9" w:rsidRPr="00F86FB9">
        <w:rPr>
          <w:rFonts w:ascii="Times New Roman" w:hAnsi="Times New Roman" w:cs="Times New Roman"/>
          <w:sz w:val="28"/>
          <w:szCs w:val="28"/>
        </w:rPr>
        <w:t>Межбанковская система перевода денег (МСПД)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</w:rPr>
        <w:t xml:space="preserve">9. </w:t>
      </w:r>
      <w:r w:rsidR="00F86FB9" w:rsidRPr="00F86FB9">
        <w:rPr>
          <w:rFonts w:ascii="Times New Roman" w:hAnsi="Times New Roman" w:cs="Times New Roman"/>
          <w:bCs/>
          <w:sz w:val="28"/>
          <w:szCs w:val="28"/>
        </w:rPr>
        <w:t>Системы розничных платежей. Особенности межбанковского клиринга в Казахстане</w:t>
      </w:r>
      <w:r w:rsidR="00F86FB9">
        <w:rPr>
          <w:rFonts w:ascii="Times New Roman" w:hAnsi="Times New Roman" w:cs="Times New Roman"/>
          <w:bCs/>
          <w:sz w:val="28"/>
          <w:szCs w:val="28"/>
        </w:rPr>
        <w:t>.</w:t>
      </w:r>
    </w:p>
    <w:p w:rsidR="00AC7AC2" w:rsidRPr="00F86FB9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F86FB9" w:rsidRPr="00F86FB9">
        <w:rPr>
          <w:rFonts w:ascii="Times New Roman" w:hAnsi="Times New Roman" w:cs="Times New Roman"/>
          <w:sz w:val="28"/>
          <w:szCs w:val="28"/>
        </w:rPr>
        <w:t>Межбанковские системы электронных    переводов  в Казахстане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86FB9" w:rsidRPr="00F86FB9" w:rsidRDefault="00F51333" w:rsidP="00F86FB9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F86FB9" w:rsidRPr="00F86FB9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="00F86FB9" w:rsidRPr="00F86FB9">
        <w:rPr>
          <w:rFonts w:ascii="Times New Roman" w:hAnsi="Times New Roman" w:cs="Times New Roman"/>
          <w:sz w:val="28"/>
          <w:szCs w:val="28"/>
        </w:rPr>
        <w:t>Крупнейшие системы денежных расчетов мира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F51333">
        <w:rPr>
          <w:rFonts w:ascii="Times New Roman" w:hAnsi="Times New Roman" w:cs="Times New Roman"/>
          <w:sz w:val="28"/>
          <w:szCs w:val="28"/>
        </w:rPr>
        <w:t>.</w:t>
      </w:r>
      <w:r w:rsidR="00F86FB9" w:rsidRPr="00F86FB9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="00F86FB9" w:rsidRPr="00F86FB9">
        <w:rPr>
          <w:rFonts w:ascii="Times New Roman" w:hAnsi="Times New Roman" w:cs="Times New Roman"/>
          <w:sz w:val="28"/>
          <w:szCs w:val="28"/>
        </w:rPr>
        <w:t>Расчетно-платежные системы в Еврозоне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AC7AC2" w:rsidRPr="00F86FB9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F86FB9" w:rsidRPr="00F86FB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F86FB9" w:rsidRPr="00F86F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proofErr w:type="gramStart"/>
      <w:r w:rsidR="00F86FB9" w:rsidRPr="00F86FB9">
        <w:rPr>
          <w:rFonts w:ascii="Times New Roman" w:hAnsi="Times New Roman" w:cs="Times New Roman"/>
          <w:sz w:val="28"/>
          <w:szCs w:val="28"/>
        </w:rPr>
        <w:t>Интернет-платежные</w:t>
      </w:r>
      <w:proofErr w:type="spellEnd"/>
      <w:proofErr w:type="gramEnd"/>
      <w:r w:rsidR="00F86FB9" w:rsidRPr="00F86FB9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F86FB9" w:rsidRPr="00F86FB9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="00F86FB9" w:rsidRPr="00F86FB9">
        <w:rPr>
          <w:rFonts w:ascii="Times New Roman" w:hAnsi="Times New Roman" w:cs="Times New Roman"/>
          <w:sz w:val="28"/>
          <w:szCs w:val="28"/>
        </w:rPr>
        <w:t>Электронные банковские технологии</w:t>
      </w:r>
      <w:r w:rsidR="00F86FB9">
        <w:rPr>
          <w:rFonts w:ascii="Times New Roman" w:hAnsi="Times New Roman" w:cs="Times New Roman"/>
          <w:sz w:val="28"/>
          <w:szCs w:val="28"/>
        </w:rPr>
        <w:t>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F51333">
        <w:rPr>
          <w:rFonts w:ascii="Times New Roman" w:hAnsi="Times New Roman" w:cs="Times New Roman"/>
          <w:sz w:val="28"/>
          <w:szCs w:val="28"/>
        </w:rPr>
        <w:t xml:space="preserve">. </w:t>
      </w:r>
      <w:r w:rsidR="00F86FB9" w:rsidRPr="00F86FB9">
        <w:rPr>
          <w:rFonts w:ascii="Times New Roman" w:hAnsi="Times New Roman" w:cs="Times New Roman"/>
          <w:bCs/>
          <w:sz w:val="28"/>
          <w:szCs w:val="28"/>
        </w:rPr>
        <w:t>Развитие электронных банковских услуг в Казахстане</w:t>
      </w:r>
      <w:r w:rsidR="00F86FB9">
        <w:rPr>
          <w:rFonts w:ascii="Times New Roman" w:hAnsi="Times New Roman" w:cs="Times New Roman"/>
          <w:bCs/>
          <w:sz w:val="28"/>
          <w:szCs w:val="28"/>
        </w:rPr>
        <w:t>.</w:t>
      </w:r>
    </w:p>
    <w:p w:rsidR="00D17A2E" w:rsidRPr="008D05E9" w:rsidRDefault="00D17A2E" w:rsidP="00F5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942" w:rsidRPr="008D05E9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477942" w:rsidRPr="00172E96" w:rsidRDefault="00477942" w:rsidP="0047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основным категориям </w:t>
      </w:r>
      <w:r w:rsidR="00F86FB9">
        <w:rPr>
          <w:rFonts w:ascii="Times New Roman" w:eastAsia="Calibri" w:hAnsi="Times New Roman" w:cs="Times New Roman"/>
          <w:color w:val="000000"/>
          <w:sz w:val="28"/>
          <w:szCs w:val="28"/>
        </w:rPr>
        <w:t>платежной системы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86FB9">
        <w:rPr>
          <w:rFonts w:ascii="Times New Roman" w:eastAsia="Calibri" w:hAnsi="Times New Roman" w:cs="Times New Roman"/>
          <w:bCs/>
          <w:sz w:val="28"/>
          <w:szCs w:val="28"/>
        </w:rPr>
        <w:t>ее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 видов, </w:t>
      </w:r>
      <w:r w:rsidR="00F86FB9">
        <w:rPr>
          <w:rFonts w:ascii="Times New Roman" w:eastAsia="Calibri" w:hAnsi="Times New Roman" w:cs="Times New Roman"/>
          <w:bCs/>
          <w:sz w:val="28"/>
          <w:szCs w:val="28"/>
        </w:rPr>
        <w:t>формам построения, структурой</w:t>
      </w:r>
      <w:r w:rsidR="00FA7D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86FB9">
        <w:rPr>
          <w:rFonts w:ascii="Times New Roman" w:eastAsia="Calibri" w:hAnsi="Times New Roman" w:cs="Times New Roman"/>
          <w:bCs/>
          <w:sz w:val="28"/>
          <w:szCs w:val="28"/>
        </w:rPr>
        <w:t>платежной системы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 </w:t>
      </w:r>
    </w:p>
    <w:p w:rsidR="00477942" w:rsidRPr="00172E96" w:rsidRDefault="00477942" w:rsidP="00477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- описывать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понимание общей структуры области изучения и связей между </w:t>
      </w:r>
      <w:r w:rsidRPr="00172E9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теоретическими основами и современной практикой </w:t>
      </w:r>
      <w:r w:rsidR="00F86FB9">
        <w:rPr>
          <w:rFonts w:ascii="Times New Roman" w:eastAsia="Calibri" w:hAnsi="Times New Roman" w:cs="Times New Roman"/>
          <w:color w:val="000000"/>
          <w:sz w:val="28"/>
          <w:szCs w:val="28"/>
        </w:rPr>
        <w:t>функционирования платежной системы</w:t>
      </w:r>
      <w:r w:rsidRPr="00172E9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;</w:t>
      </w:r>
    </w:p>
    <w:p w:rsidR="00477942" w:rsidRPr="00172E96" w:rsidRDefault="00477942" w:rsidP="00477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анализировать проблемы выбора показателей и разработки методов оценки </w:t>
      </w:r>
      <w:r w:rsidR="00B70406">
        <w:rPr>
          <w:rFonts w:ascii="Times New Roman" w:eastAsia="Calibri" w:hAnsi="Times New Roman" w:cs="Times New Roman"/>
          <w:color w:val="000000"/>
          <w:sz w:val="28"/>
          <w:szCs w:val="28"/>
        </w:rPr>
        <w:t>платежной системы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исходя из конкретных видов </w:t>
      </w:r>
      <w:r w:rsidR="00B70406">
        <w:rPr>
          <w:rFonts w:ascii="Times New Roman" w:eastAsia="Calibri" w:hAnsi="Times New Roman" w:cs="Times New Roman"/>
          <w:color w:val="000000"/>
          <w:sz w:val="28"/>
          <w:szCs w:val="28"/>
        </w:rPr>
        <w:t>ее формирования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предлагать направление их решения; </w:t>
      </w:r>
    </w:p>
    <w:p w:rsidR="00477942" w:rsidRPr="00172E96" w:rsidRDefault="0047794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Default="0047794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6CA2" w:rsidRDefault="007C6CA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6CA2" w:rsidRDefault="007C6CA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6CA2" w:rsidRPr="00172E96" w:rsidRDefault="007C6CA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58A1" w:rsidRDefault="00477942" w:rsidP="004779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</w:t>
      </w:r>
    </w:p>
    <w:p w:rsidR="00477942" w:rsidRPr="00172E96" w:rsidRDefault="00477942" w:rsidP="004779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A76E2">
        <w:rPr>
          <w:rFonts w:ascii="Times New Roman" w:eastAsia="Calibri" w:hAnsi="Times New Roman" w:cs="Times New Roman"/>
          <w:bCs/>
          <w:sz w:val="28"/>
          <w:szCs w:val="28"/>
        </w:rPr>
        <w:t>Платежная система</w:t>
      </w:r>
      <w:r w:rsidRPr="00172E9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D22C1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Что включает система расчетов.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Платежная система – это…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 xml:space="preserve">Чем пользуются участники </w:t>
      </w:r>
      <w:proofErr w:type="gramStart"/>
      <w:r w:rsidRPr="007E6B5D">
        <w:rPr>
          <w:rFonts w:ascii="Times New Roman" w:hAnsi="Times New Roman"/>
          <w:sz w:val="28"/>
          <w:szCs w:val="28"/>
        </w:rPr>
        <w:t>экономического процесса</w:t>
      </w:r>
      <w:proofErr w:type="gramEnd"/>
      <w:r w:rsidRPr="007E6B5D">
        <w:rPr>
          <w:rFonts w:ascii="Times New Roman" w:hAnsi="Times New Roman"/>
          <w:sz w:val="28"/>
          <w:szCs w:val="28"/>
        </w:rPr>
        <w:t xml:space="preserve"> при выполнении своих обязательств.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Цель платежной системы.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Кто издает нормативно-правовые акты по вопросам платежей и переводов денег.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Порядок и условия осуществления платежей с использованием наличных денег устанавливает…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Через что можно осуществить окончательные межбанковские расчеты.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С появлением чего было связано реформирование платежной системы.</w:t>
      </w:r>
    </w:p>
    <w:p w:rsidR="00B70406" w:rsidRPr="007E6B5D" w:rsidRDefault="00B70406" w:rsidP="00C23ECF">
      <w:pPr>
        <w:pStyle w:val="Web"/>
        <w:numPr>
          <w:ilvl w:val="0"/>
          <w:numId w:val="24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Основные компоненты платежной системы.</w:t>
      </w:r>
    </w:p>
    <w:p w:rsidR="00B70406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На какие категории делятся участники платежной системы.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Что обязан центральный банк как участник платежной системы.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От чего зависит стоимость использования платежного инструмента.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Группы платежных инструментов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 xml:space="preserve">В кредитовом переводе движение платежных документов и денег осуществляется </w:t>
      </w:r>
      <w:proofErr w:type="gramStart"/>
      <w:r w:rsidRPr="007E6B5D">
        <w:rPr>
          <w:rFonts w:ascii="Times New Roman" w:hAnsi="Times New Roman"/>
          <w:sz w:val="28"/>
          <w:szCs w:val="28"/>
        </w:rPr>
        <w:t>в</w:t>
      </w:r>
      <w:proofErr w:type="gramEnd"/>
      <w:r w:rsidRPr="007E6B5D">
        <w:rPr>
          <w:rFonts w:ascii="Times New Roman" w:hAnsi="Times New Roman"/>
          <w:sz w:val="28"/>
          <w:szCs w:val="28"/>
        </w:rPr>
        <w:t>…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К дебетовым инструментам относятся.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Что характерно дебетовому переводу.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В каком виде могут составляться платежные документы.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Что устанавливается для осуществления перевода денег между банками.</w:t>
      </w:r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Каким образом осуществляется двусторонние корреспондентские отношения между банками</w:t>
      </w:r>
      <w:proofErr w:type="gramStart"/>
      <w:r w:rsidRPr="007E6B5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E6B5D" w:rsidRPr="007E6B5D" w:rsidRDefault="007E6B5D" w:rsidP="00C23ECF">
      <w:pPr>
        <w:pStyle w:val="Web"/>
        <w:numPr>
          <w:ilvl w:val="0"/>
          <w:numId w:val="24"/>
        </w:numPr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E6B5D">
        <w:rPr>
          <w:rFonts w:ascii="Times New Roman" w:hAnsi="Times New Roman"/>
          <w:sz w:val="28"/>
          <w:szCs w:val="28"/>
        </w:rPr>
        <w:t>Какие существуют методы осуществления платежей.</w:t>
      </w:r>
    </w:p>
    <w:p w:rsidR="00B70406" w:rsidRPr="00172E96" w:rsidRDefault="00B70406" w:rsidP="00B70406">
      <w:pPr>
        <w:pStyle w:val="Web"/>
        <w:spacing w:before="0" w:after="0"/>
        <w:ind w:left="360"/>
        <w:jc w:val="both"/>
        <w:rPr>
          <w:rFonts w:ascii="Times New Roman" w:hAnsi="Times New Roman"/>
        </w:rPr>
      </w:pPr>
    </w:p>
    <w:p w:rsidR="00DD22C1" w:rsidRPr="00172E96" w:rsidRDefault="00477942" w:rsidP="004779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72E96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tbl>
      <w:tblPr>
        <w:tblW w:w="0" w:type="auto"/>
        <w:tblLook w:val="0000"/>
      </w:tblPr>
      <w:tblGrid>
        <w:gridCol w:w="8926"/>
      </w:tblGrid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Законодательные акты РК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C23ECF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Республики Казахстан «О платежах и платежной системе»  от 26.07.2016</w:t>
            </w:r>
            <w:r w:rsidR="003A47D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72E96"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Доп</w:t>
            </w:r>
            <w:r w:rsidR="003A47DB">
              <w:rPr>
                <w:rFonts w:ascii="Times New Roman" w:hAnsi="Times New Roman" w:cs="Times New Roman"/>
                <w:sz w:val="28"/>
                <w:szCs w:val="28"/>
              </w:rPr>
              <w:t>олнения и изменения от 10.01.2020</w:t>
            </w:r>
            <w:r w:rsidR="00172E96" w:rsidRPr="001174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3A47DB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1005417044"/>
            <w:r w:rsidRPr="003A47DB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</w:t>
            </w:r>
            <w:bookmarkEnd w:id="1"/>
            <w:r w:rsidRPr="003A47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proofErr w:type="spellStart"/>
            <w:r w:rsidRPr="003A47DB">
              <w:rPr>
                <w:rFonts w:ascii="Times New Roman" w:hAnsi="Times New Roman" w:cs="Times New Roman"/>
                <w:iCs/>
                <w:sz w:val="28"/>
                <w:szCs w:val="28"/>
              </w:rPr>
              <w:t>Премьер-Министра</w:t>
            </w:r>
            <w:proofErr w:type="spellEnd"/>
            <w:r w:rsidRPr="003A47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РК от 20 августа 2016 года № 68-р </w:t>
            </w:r>
            <w:r w:rsidRPr="003A47D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«О мерах по реализации законов Республики Казахстан от 26 июля 2016 года «О платежах и платежных системах» и «О внесении изменений и дополнений в некоторые законодательные акты Республики Казахстан по вопросам платежей и платежных систем»</w:t>
            </w:r>
          </w:p>
        </w:tc>
      </w:tr>
      <w:tr w:rsidR="00172E96" w:rsidRPr="0011740F" w:rsidTr="003A47DB">
        <w:trPr>
          <w:trHeight w:val="80"/>
        </w:trPr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             “Учебники и учебные пособия”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pStyle w:val="a5"/>
              <w:ind w:left="0"/>
              <w:rPr>
                <w:sz w:val="28"/>
                <w:szCs w:val="28"/>
              </w:rPr>
            </w:pPr>
            <w:r w:rsidRPr="0011740F">
              <w:rPr>
                <w:sz w:val="28"/>
                <w:szCs w:val="28"/>
                <w:lang w:val="kk-KZ"/>
              </w:rPr>
              <w:t xml:space="preserve"> </w:t>
            </w:r>
            <w:r w:rsidR="003A47DB">
              <w:rPr>
                <w:color w:val="000000"/>
                <w:sz w:val="27"/>
                <w:szCs w:val="27"/>
              </w:rPr>
              <w:t xml:space="preserve">Банковское дело. Учебник под ред. </w:t>
            </w:r>
            <w:proofErr w:type="spellStart"/>
            <w:r w:rsidR="003A47DB">
              <w:rPr>
                <w:color w:val="000000"/>
                <w:sz w:val="27"/>
                <w:szCs w:val="27"/>
              </w:rPr>
              <w:t>Искакова</w:t>
            </w:r>
            <w:proofErr w:type="spellEnd"/>
            <w:r w:rsidR="003A47DB">
              <w:rPr>
                <w:color w:val="000000"/>
                <w:sz w:val="27"/>
                <w:szCs w:val="27"/>
              </w:rPr>
              <w:t xml:space="preserve"> У.М., </w:t>
            </w:r>
            <w:proofErr w:type="spellStart"/>
            <w:r w:rsidR="003A47DB">
              <w:rPr>
                <w:color w:val="000000"/>
                <w:sz w:val="27"/>
                <w:szCs w:val="27"/>
              </w:rPr>
              <w:t>Алматы</w:t>
            </w:r>
            <w:proofErr w:type="spellEnd"/>
            <w:r w:rsidR="003A47DB">
              <w:rPr>
                <w:color w:val="000000"/>
                <w:sz w:val="27"/>
                <w:szCs w:val="27"/>
              </w:rPr>
              <w:t>, 2011 г.</w:t>
            </w:r>
          </w:p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3A47DB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Деньги, кредит, банки. Учебник под ред. Лаврушина О.И., Москва, 2010 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1A76E2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Банковское дело. Учебник под ред. </w:t>
            </w:r>
            <w:proofErr w:type="spellStart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Сейткасимова</w:t>
            </w:r>
            <w:proofErr w:type="spellEnd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Г.С, </w:t>
            </w:r>
            <w:proofErr w:type="spellStart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</w:t>
            </w:r>
            <w:proofErr w:type="spellEnd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2010 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1A76E2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А.А.Ильяс</w:t>
            </w:r>
            <w:proofErr w:type="spellEnd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А.К.Саулембекова</w:t>
            </w:r>
            <w:proofErr w:type="spellEnd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Платежная система Республики Казахстан.- </w:t>
            </w:r>
            <w:proofErr w:type="spellStart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</w:t>
            </w:r>
            <w:proofErr w:type="spellEnd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 Экономика, 2009 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1A76E2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Познякова Л.А. Основные платежные системы России, стран Западной Европы. США и Японии. - М., 2006г.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1A76E2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В.П., Московкина Л.А. Структура и функции центральных банков. Зарубежный опыт. </w:t>
            </w:r>
            <w:proofErr w:type="gramStart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2006г.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1A76E2" w:rsidP="001F47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Берг П. Платежная система: риск и управление риском. Семинар по платежным системам. Объединенный Венский институт, 2005 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A76E2" w:rsidRDefault="001A76E2" w:rsidP="001F47EA">
            <w:pPr>
              <w:shd w:val="clear" w:color="auto" w:fill="FFFFFF"/>
              <w:tabs>
                <w:tab w:val="left" w:pos="-6"/>
              </w:tabs>
              <w:autoSpaceDE w:val="0"/>
              <w:autoSpaceDN w:val="0"/>
              <w:adjustRightInd w:val="0"/>
              <w:spacing w:line="307" w:lineRule="exact"/>
              <w:ind w:left="-6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Платежная система: структура, управление и контроль. Учебник под ред. Саммерса Б.. МВФ, 2004г.</w:t>
            </w:r>
          </w:p>
        </w:tc>
      </w:tr>
    </w:tbl>
    <w:p w:rsidR="00DD22C1" w:rsidRPr="0011740F" w:rsidRDefault="00DD22C1" w:rsidP="007C6C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740F">
        <w:rPr>
          <w:rFonts w:ascii="Times New Roman" w:eastAsia="Calibri" w:hAnsi="Times New Roman" w:cs="Times New Roman"/>
          <w:sz w:val="28"/>
          <w:szCs w:val="28"/>
        </w:rPr>
        <w:tab/>
      </w:r>
    </w:p>
    <w:p w:rsidR="00DD22C1" w:rsidRPr="0011740F" w:rsidRDefault="00DD22C1" w:rsidP="00DD22C1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2C1" w:rsidRPr="0011740F" w:rsidRDefault="00DD22C1" w:rsidP="00DD22C1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2C1" w:rsidRPr="0011740F" w:rsidRDefault="00DD22C1" w:rsidP="00DD22C1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942" w:rsidRPr="0011740F" w:rsidRDefault="00477942" w:rsidP="00DD22C1">
      <w:pPr>
        <w:tabs>
          <w:tab w:val="left" w:pos="111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477942" w:rsidRPr="0011740F" w:rsidSect="00C23EC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</w:lvl>
    <w:lvl w:ilvl="1">
      <w:start w:val="3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>
    <w:nsid w:val="000C6C68"/>
    <w:multiLevelType w:val="hybridMultilevel"/>
    <w:tmpl w:val="160046BE"/>
    <w:lvl w:ilvl="0" w:tplc="38E616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40BD"/>
    <w:multiLevelType w:val="hybridMultilevel"/>
    <w:tmpl w:val="BCC0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3270D"/>
    <w:multiLevelType w:val="hybridMultilevel"/>
    <w:tmpl w:val="E3FE2536"/>
    <w:lvl w:ilvl="0" w:tplc="A77274A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2B4B"/>
    <w:multiLevelType w:val="hybridMultilevel"/>
    <w:tmpl w:val="09A665A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>
    <w:nsid w:val="221B1CFF"/>
    <w:multiLevelType w:val="hybridMultilevel"/>
    <w:tmpl w:val="D15AF58A"/>
    <w:lvl w:ilvl="0" w:tplc="B952F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9F73AD"/>
    <w:multiLevelType w:val="hybridMultilevel"/>
    <w:tmpl w:val="1C067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E50AF"/>
    <w:multiLevelType w:val="hybridMultilevel"/>
    <w:tmpl w:val="43FED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F5BFC"/>
    <w:multiLevelType w:val="hybridMultilevel"/>
    <w:tmpl w:val="E05CDBF6"/>
    <w:lvl w:ilvl="0" w:tplc="0419000F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41828A6"/>
    <w:multiLevelType w:val="hybridMultilevel"/>
    <w:tmpl w:val="874AC230"/>
    <w:lvl w:ilvl="0" w:tplc="2E54A586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52E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B4A2DA7"/>
    <w:multiLevelType w:val="multilevel"/>
    <w:tmpl w:val="2998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DF50750"/>
    <w:multiLevelType w:val="hybridMultilevel"/>
    <w:tmpl w:val="77B6E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BD75D0"/>
    <w:multiLevelType w:val="hybridMultilevel"/>
    <w:tmpl w:val="1562B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296011"/>
    <w:multiLevelType w:val="hybridMultilevel"/>
    <w:tmpl w:val="4EB60B78"/>
    <w:lvl w:ilvl="0" w:tplc="409E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B72E19"/>
    <w:multiLevelType w:val="hybridMultilevel"/>
    <w:tmpl w:val="8F621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9">
    <w:nsid w:val="6BF97FE0"/>
    <w:multiLevelType w:val="hybridMultilevel"/>
    <w:tmpl w:val="722C9152"/>
    <w:lvl w:ilvl="0" w:tplc="8B58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C64F77"/>
    <w:multiLevelType w:val="hybridMultilevel"/>
    <w:tmpl w:val="AD60E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6471C"/>
    <w:multiLevelType w:val="hybridMultilevel"/>
    <w:tmpl w:val="A6B01BB2"/>
    <w:lvl w:ilvl="0" w:tplc="E59C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5377AF"/>
    <w:multiLevelType w:val="hybridMultilevel"/>
    <w:tmpl w:val="94EA4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21"/>
  </w:num>
  <w:num w:numId="5">
    <w:abstractNumId w:val="16"/>
  </w:num>
  <w:num w:numId="6">
    <w:abstractNumId w:val="19"/>
  </w:num>
  <w:num w:numId="7">
    <w:abstractNumId w:val="15"/>
  </w:num>
  <w:num w:numId="8">
    <w:abstractNumId w:val="17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9"/>
  </w:num>
  <w:num w:numId="18">
    <w:abstractNumId w:val="7"/>
  </w:num>
  <w:num w:numId="19">
    <w:abstractNumId w:val="4"/>
  </w:num>
  <w:num w:numId="20">
    <w:abstractNumId w:val="22"/>
  </w:num>
  <w:num w:numId="21">
    <w:abstractNumId w:val="13"/>
  </w:num>
  <w:num w:numId="22">
    <w:abstractNumId w:val="20"/>
  </w:num>
  <w:num w:numId="23">
    <w:abstractNumId w:val="6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8E4"/>
    <w:rsid w:val="000A650F"/>
    <w:rsid w:val="000C5C44"/>
    <w:rsid w:val="000D044B"/>
    <w:rsid w:val="001068D9"/>
    <w:rsid w:val="0011740F"/>
    <w:rsid w:val="00161ADB"/>
    <w:rsid w:val="00172E96"/>
    <w:rsid w:val="001A76E2"/>
    <w:rsid w:val="001B602F"/>
    <w:rsid w:val="003A47DB"/>
    <w:rsid w:val="00445EE3"/>
    <w:rsid w:val="00476C0C"/>
    <w:rsid w:val="00477942"/>
    <w:rsid w:val="004E4626"/>
    <w:rsid w:val="005351E2"/>
    <w:rsid w:val="006328E4"/>
    <w:rsid w:val="00794F5D"/>
    <w:rsid w:val="00795A14"/>
    <w:rsid w:val="007B11D8"/>
    <w:rsid w:val="007C6CA2"/>
    <w:rsid w:val="007E6B5D"/>
    <w:rsid w:val="008C7DD3"/>
    <w:rsid w:val="008D05E9"/>
    <w:rsid w:val="00903F72"/>
    <w:rsid w:val="00987AFC"/>
    <w:rsid w:val="009D10A4"/>
    <w:rsid w:val="00AA1039"/>
    <w:rsid w:val="00AC7AC2"/>
    <w:rsid w:val="00AF7FC5"/>
    <w:rsid w:val="00B300D6"/>
    <w:rsid w:val="00B658A1"/>
    <w:rsid w:val="00B70406"/>
    <w:rsid w:val="00B77607"/>
    <w:rsid w:val="00C23ECF"/>
    <w:rsid w:val="00CE426C"/>
    <w:rsid w:val="00D17A2E"/>
    <w:rsid w:val="00D5321A"/>
    <w:rsid w:val="00D74D7A"/>
    <w:rsid w:val="00DB3A52"/>
    <w:rsid w:val="00DD22C1"/>
    <w:rsid w:val="00EA3056"/>
    <w:rsid w:val="00ED4FFC"/>
    <w:rsid w:val="00F51333"/>
    <w:rsid w:val="00F54422"/>
    <w:rsid w:val="00F771F3"/>
    <w:rsid w:val="00F86FB9"/>
    <w:rsid w:val="00FA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4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4"/>
    <w:rsid w:val="00445EE3"/>
    <w:pPr>
      <w:widowControl w:val="0"/>
      <w:suppressLineNumbers/>
      <w:suppressAutoHyphens/>
      <w:spacing w:line="240" w:lineRule="auto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445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445EE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45EE3"/>
  </w:style>
  <w:style w:type="paragraph" w:customStyle="1" w:styleId="Web">
    <w:name w:val="Обычный (Web)"/>
    <w:basedOn w:val="a"/>
    <w:rsid w:val="00445EE3"/>
    <w:pPr>
      <w:spacing w:before="100" w:after="100" w:line="240" w:lineRule="auto"/>
    </w:pPr>
    <w:rPr>
      <w:rFonts w:ascii="Arial Unicode MS" w:eastAsia="Arial Unicode MS" w:hAnsi="Arial Unicode MS" w:cs="Times New Roman"/>
      <w:color w:val="000000"/>
      <w:sz w:val="24"/>
      <w:szCs w:val="20"/>
      <w:lang w:eastAsia="ru-RU"/>
    </w:rPr>
  </w:style>
  <w:style w:type="character" w:customStyle="1" w:styleId="s1">
    <w:name w:val="s1"/>
    <w:basedOn w:val="a0"/>
    <w:rsid w:val="00445EE3"/>
  </w:style>
  <w:style w:type="character" w:customStyle="1" w:styleId="s9">
    <w:name w:val="s9"/>
    <w:basedOn w:val="a0"/>
    <w:rsid w:val="00445EE3"/>
  </w:style>
  <w:style w:type="character" w:styleId="a7">
    <w:name w:val="Hyperlink"/>
    <w:basedOn w:val="a0"/>
    <w:uiPriority w:val="99"/>
    <w:unhideWhenUsed/>
    <w:rsid w:val="00DD22C1"/>
    <w:rPr>
      <w:color w:val="0000FF"/>
      <w:u w:val="single"/>
    </w:rPr>
  </w:style>
  <w:style w:type="paragraph" w:styleId="2">
    <w:name w:val="Body Text Indent 2"/>
    <w:basedOn w:val="a"/>
    <w:link w:val="20"/>
    <w:rsid w:val="00FA7D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A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. Нумерованный_УМК"/>
    <w:basedOn w:val="a"/>
    <w:next w:val="a"/>
    <w:link w:val="10"/>
    <w:qFormat/>
    <w:rsid w:val="00DB3A52"/>
    <w:pPr>
      <w:numPr>
        <w:numId w:val="15"/>
      </w:numPr>
      <w:suppressAutoHyphens/>
      <w:spacing w:after="0" w:line="240" w:lineRule="auto"/>
      <w:ind w:left="567" w:hanging="425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1. Нумерованный_УМК Знак"/>
    <w:basedOn w:val="a0"/>
    <w:link w:val="1"/>
    <w:rsid w:val="00DB3A5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B658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658A1"/>
  </w:style>
  <w:style w:type="paragraph" w:customStyle="1" w:styleId="a8">
    <w:basedOn w:val="a"/>
    <w:next w:val="a9"/>
    <w:link w:val="aa"/>
    <w:qFormat/>
    <w:rsid w:val="00B658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8"/>
    <w:rsid w:val="00B658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footer"/>
    <w:basedOn w:val="a"/>
    <w:link w:val="ac"/>
    <w:rsid w:val="00B658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B65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11"/>
    <w:uiPriority w:val="10"/>
    <w:qFormat/>
    <w:rsid w:val="00B65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9"/>
    <w:uiPriority w:val="10"/>
    <w:rsid w:val="00B6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2020-03-27T19:38:00Z</dcterms:created>
  <dcterms:modified xsi:type="dcterms:W3CDTF">2020-03-27T19:38:00Z</dcterms:modified>
</cp:coreProperties>
</file>